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360"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MAINTENANCE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 xml:space="preserve"> GUIDELINES FOR SPC PRODUCTS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 </w:t>
      </w:r>
    </w:p>
    <w:p>
      <w:pPr>
        <w:pStyle w:val="Default"/>
        <w:bidi w:val="0"/>
        <w:spacing w:before="0" w:after="160" w:line="288" w:lineRule="auto"/>
        <w:ind w:left="0" w:right="0" w:firstLine="0"/>
        <w:jc w:val="both"/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13284b"/>
          <w:sz w:val="22"/>
          <w:szCs w:val="22"/>
          <w:rtl w:val="0"/>
          <w:lang w:val="de-DE"/>
          <w14:textFill>
            <w14:solidFill>
              <w14:srgbClr w14:val="13284B"/>
            </w14:solidFill>
          </w14:textFill>
        </w:rPr>
        <w:t>SPC FLOATING PLANK FLOOR</w:t>
      </w:r>
      <w:r>
        <w:rPr>
          <w:rFonts w:ascii="Calibri" w:hAnsi="Calibri" w:hint="default"/>
          <w:b w:val="1"/>
          <w:bCs w:val="1"/>
          <w:outline w:val="0"/>
          <w:color w:val="13284b"/>
          <w:sz w:val="22"/>
          <w:szCs w:val="22"/>
          <w:rtl w:val="0"/>
          <w14:textFill>
            <w14:solidFill>
              <w14:srgbClr w14:val="13284B"/>
            </w14:solidFill>
          </w14:textFill>
        </w:rPr>
        <w:t> </w:t>
      </w:r>
    </w:p>
    <w:p>
      <w:pPr>
        <w:pStyle w:val="Default"/>
        <w:bidi w:val="0"/>
        <w:spacing w:before="0" w:after="80" w:line="288" w:lineRule="auto"/>
        <w:ind w:left="0" w:right="0" w:firstLine="0"/>
        <w:jc w:val="both"/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MAINTENANCE GUIDELINES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after="80" w:line="288" w:lineRule="auto"/>
        <w:ind w:right="0"/>
        <w:jc w:val="both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Initial maintenance can be performed immediately after installation of the SPC floating flooring.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Cleaning utilizing a neutral pH cleaning solution and mop is recommended.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>White, green</w:t>
      </w:r>
      <w:r>
        <w:rPr>
          <w:rFonts w:ascii="Calibri" w:hAnsi="Calibri"/>
          <w:sz w:val="22"/>
          <w:szCs w:val="22"/>
          <w:rtl w:val="0"/>
          <w:lang w:val="en-US"/>
        </w:rPr>
        <w:t>,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or blue abrasive pads can be used to remove heavier deposits.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>Rinse the floor thoroughly and allow to air dry. Do not overwater the flooring.</w:t>
      </w:r>
      <w:r>
        <w:rPr>
          <w:rFonts w:ascii="Calibri" w:hAnsi="Calibri" w:hint="default"/>
          <w:sz w:val="22"/>
          <w:szCs w:val="22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after="80" w:line="288" w:lineRule="auto"/>
        <w:ind w:right="0"/>
        <w:jc w:val="both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Daily and weekly maintenance by sweeping, vacuum</w:t>
      </w:r>
      <w:r>
        <w:rPr>
          <w:rFonts w:ascii="Calibri" w:hAnsi="Calibri"/>
          <w:sz w:val="22"/>
          <w:szCs w:val="22"/>
          <w:rtl w:val="0"/>
          <w:lang w:val="en-US"/>
        </w:rPr>
        <w:t>ing,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or dust mopping the floor as needed to remove dust loose dirt and grit.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In high traffic areas this may be a daily or twice daily procedure.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Use only vacuums that do not have bristle beater bars or metal heads. </w:t>
      </w:r>
    </w:p>
    <w:p>
      <w:pPr>
        <w:pStyle w:val="Default"/>
        <w:numPr>
          <w:ilvl w:val="0"/>
          <w:numId w:val="2"/>
        </w:numPr>
        <w:bidi w:val="0"/>
        <w:spacing w:before="0" w:after="80" w:line="288" w:lineRule="auto"/>
        <w:ind w:right="0"/>
        <w:jc w:val="both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Clean liquid spills immediately to prevent the possibility of stains, slips</w:t>
      </w:r>
      <w:r>
        <w:rPr>
          <w:rFonts w:ascii="Calibri" w:hAnsi="Calibri"/>
          <w:sz w:val="22"/>
          <w:szCs w:val="22"/>
          <w:rtl w:val="0"/>
          <w:lang w:val="en-US"/>
        </w:rPr>
        <w:t>,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or falls. </w:t>
      </w:r>
    </w:p>
    <w:p>
      <w:pPr>
        <w:pStyle w:val="Default"/>
        <w:numPr>
          <w:ilvl w:val="0"/>
          <w:numId w:val="2"/>
        </w:numPr>
        <w:bidi w:val="0"/>
        <w:spacing w:before="0" w:after="80" w:line="288" w:lineRule="auto"/>
        <w:ind w:right="0"/>
        <w:jc w:val="both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Damp mop the floor as needed to remove dirt and stains.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Use a neutral pH cleaner and a white, green or blue pad if needed to remove ground in dirt.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Soft white bristle brushes can also be used on flooring with embossed surfaces. </w:t>
      </w:r>
    </w:p>
    <w:p>
      <w:pPr>
        <w:pStyle w:val="Default"/>
        <w:numPr>
          <w:ilvl w:val="0"/>
          <w:numId w:val="2"/>
        </w:numPr>
        <w:bidi w:val="0"/>
        <w:spacing w:before="0" w:after="80" w:line="288" w:lineRule="auto"/>
        <w:ind w:right="0"/>
        <w:jc w:val="both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Preventative steps</w:t>
      </w:r>
      <w:r>
        <w:rPr>
          <w:rFonts w:ascii="Calibri" w:hAnsi="Calibri"/>
          <w:sz w:val="22"/>
          <w:szCs w:val="22"/>
          <w:rtl w:val="0"/>
          <w:lang w:val="en-US"/>
        </w:rPr>
        <w:t>:</w:t>
      </w:r>
    </w:p>
    <w:p>
      <w:pPr>
        <w:pStyle w:val="Default"/>
        <w:numPr>
          <w:ilvl w:val="1"/>
          <w:numId w:val="2"/>
        </w:numPr>
        <w:bidi w:val="0"/>
        <w:spacing w:before="0" w:after="80" w:line="288" w:lineRule="auto"/>
        <w:ind w:right="0"/>
        <w:jc w:val="both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Use mats at all entry areas to keep dirt, sand and water off of the floor. Clean the mats on a regular basis. If mats are placed directly on top of the </w:t>
      </w:r>
      <w:r>
        <w:rPr>
          <w:rFonts w:ascii="Calibri" w:hAnsi="Calibri"/>
          <w:sz w:val="22"/>
          <w:szCs w:val="22"/>
          <w:rtl w:val="0"/>
          <w:lang w:val="en-US"/>
        </w:rPr>
        <w:t>SPC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floating floor, be sure the mats have a non-staining back.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Rubber mats are not recommended over </w:t>
      </w:r>
      <w:r>
        <w:rPr>
          <w:rFonts w:ascii="Calibri" w:hAnsi="Calibri"/>
          <w:sz w:val="22"/>
          <w:szCs w:val="22"/>
          <w:rtl w:val="0"/>
          <w:lang w:val="en-US"/>
        </w:rPr>
        <w:t>SPC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flooring products. </w:t>
      </w:r>
    </w:p>
    <w:p>
      <w:pPr>
        <w:pStyle w:val="Default"/>
        <w:numPr>
          <w:ilvl w:val="1"/>
          <w:numId w:val="2"/>
        </w:numPr>
        <w:bidi w:val="0"/>
        <w:spacing w:before="0" w:after="80" w:line="288" w:lineRule="auto"/>
        <w:ind w:right="0"/>
        <w:jc w:val="both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Furniture shall have protective glides of at least 1</w:t>
      </w:r>
      <w:r>
        <w:rPr>
          <w:rFonts w:ascii="Calibri" w:hAnsi="Calibri" w:hint="default"/>
          <w:sz w:val="22"/>
          <w:szCs w:val="22"/>
          <w:rtl w:val="0"/>
        </w:rPr>
        <w:t xml:space="preserve">”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in diameter to minimize indentations or scratching to the surface of the floor.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Do not use narrow chair glides!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Felt pads are also excellent protection for the floor for furniture that will be frequently moved directly across the floor. </w:t>
      </w:r>
    </w:p>
    <w:p>
      <w:pPr>
        <w:pStyle w:val="Default"/>
        <w:numPr>
          <w:ilvl w:val="1"/>
          <w:numId w:val="2"/>
        </w:numPr>
        <w:bidi w:val="0"/>
        <w:spacing w:before="0" w:after="80" w:line="288" w:lineRule="auto"/>
        <w:ind w:right="0"/>
        <w:jc w:val="both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Do not move heavy furniture, appliances</w:t>
      </w:r>
      <w:r>
        <w:rPr>
          <w:rFonts w:ascii="Calibri" w:hAnsi="Calibri"/>
          <w:sz w:val="22"/>
          <w:szCs w:val="22"/>
          <w:rtl w:val="0"/>
          <w:lang w:val="en-US"/>
        </w:rPr>
        <w:t>,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or fixtures directly across the floor.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Use protective boards or appropriate furniture movers designed for use over hard surface flooring. </w:t>
      </w:r>
    </w:p>
    <w:p>
      <w:pPr>
        <w:pStyle w:val="Default"/>
        <w:numPr>
          <w:ilvl w:val="1"/>
          <w:numId w:val="2"/>
        </w:numPr>
        <w:bidi w:val="0"/>
        <w:spacing w:before="0" w:after="80" w:line="288" w:lineRule="auto"/>
        <w:ind w:right="0"/>
        <w:jc w:val="both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Protect the floor from direct sunlight by using appropriate window coverings. </w:t>
      </w:r>
    </w:p>
    <w:p>
      <w:pPr>
        <w:pStyle w:val="Default"/>
        <w:numPr>
          <w:ilvl w:val="1"/>
          <w:numId w:val="2"/>
        </w:numPr>
        <w:bidi w:val="0"/>
        <w:spacing w:before="0" w:after="80" w:line="288" w:lineRule="auto"/>
        <w:ind w:right="0"/>
        <w:jc w:val="both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Areas with caster chairs must have protective mats under the chairs. Use chair mats at desks to protect the floor from damage due to chair legs or casters.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Periodically clean caster wheels and check for wheels </w:t>
      </w:r>
      <w:r>
        <w:rPr>
          <w:rFonts w:ascii="Calibri" w:cs="Calibri" w:hAnsi="Calibri" w:eastAsia="Calibri"/>
          <w:sz w:val="22"/>
          <w:szCs w:val="22"/>
          <w:rtl w:val="0"/>
        </w:rPr>
        <w:br w:type="textWrapping"/>
      </w:r>
      <w:r>
        <w:rPr>
          <w:rFonts w:ascii="Calibri" w:hAnsi="Calibri"/>
          <w:sz w:val="22"/>
          <w:szCs w:val="22"/>
          <w:rtl w:val="0"/>
          <w:lang w:val="en-US"/>
        </w:rPr>
        <w:t xml:space="preserve">that may be broken or no longer rotating.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Replace damaged wheels immediately. </w:t>
      </w:r>
    </w:p>
    <w:p>
      <w:pPr>
        <w:pStyle w:val="Default"/>
        <w:numPr>
          <w:ilvl w:val="1"/>
          <w:numId w:val="2"/>
        </w:numPr>
        <w:bidi w:val="0"/>
        <w:spacing w:before="0" w:after="80" w:line="288" w:lineRule="auto"/>
        <w:ind w:right="0"/>
        <w:jc w:val="both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Avoid use of metal or razor scrapers to remove dirt, residues</w:t>
      </w:r>
      <w:r>
        <w:rPr>
          <w:rFonts w:ascii="Calibri" w:hAnsi="Calibri"/>
          <w:sz w:val="22"/>
          <w:szCs w:val="22"/>
          <w:rtl w:val="0"/>
          <w:lang w:val="en-US"/>
        </w:rPr>
        <w:t>,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or other marks from flooring.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This will damage the protective wear layer of the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SPC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flooring. </w:t>
      </w:r>
      <w:r>
        <w:rPr>
          <w:rFonts w:ascii="Calibri" w:cs="Calibri" w:hAnsi="Calibri" w:eastAsia="Calibri"/>
          <w:sz w:val="22"/>
          <w:szCs w:val="22"/>
          <w:rtl w:val="0"/>
        </w:rPr>
        <w:br w:type="textWrapping"/>
      </w:r>
    </w:p>
    <w:p>
      <w:pPr>
        <w:pStyle w:val="Default"/>
        <w:bidi w:val="0"/>
        <w:spacing w:before="0" w:after="80" w:line="288" w:lineRule="auto"/>
        <w:ind w:left="0" w:right="0" w:firstLine="0"/>
        <w:jc w:val="both"/>
        <w:rPr>
          <w:rtl w:val="0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These instructions are general guidelines for the proper procedures for maintaining this flooring product.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For any applications not listed or detailed instructions on </w:t>
      </w:r>
      <w:r>
        <w:rPr>
          <w:rFonts w:ascii="Calibri" w:hAnsi="Calibri"/>
          <w:sz w:val="22"/>
          <w:szCs w:val="22"/>
          <w:rtl w:val="0"/>
          <w:lang w:val="en-US"/>
        </w:rPr>
        <w:t>m</w:t>
      </w:r>
      <w:r>
        <w:rPr>
          <w:rFonts w:ascii="Calibri" w:hAnsi="Calibri"/>
          <w:sz w:val="22"/>
          <w:szCs w:val="22"/>
          <w:rtl w:val="0"/>
          <w:lang w:val="en-US"/>
        </w:rPr>
        <w:t>aintenance, please contact seller.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raphik">
    <w:charset w:val="00"/>
    <w:family w:val="roman"/>
    <w:pitch w:val="default"/>
  </w:font>
  <w:font w:name="Gotham-Thin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Gotham-Thin" w:hAnsi="Gotham-Thin"/>
        <w:sz w:val="16"/>
        <w:szCs w:val="16"/>
      </w:rPr>
      <w:tab/>
    </w:r>
    <w:r>
      <w:rPr>
        <w:rFonts w:ascii="Gotham-Thin" w:hAnsi="Gotham-Thin"/>
        <w:sz w:val="16"/>
        <w:szCs w:val="16"/>
        <w:rtl w:val="0"/>
        <w:lang w:val="en-US"/>
      </w:rPr>
      <w:t xml:space="preserve">Page </w:t>
    </w:r>
    <w:r>
      <w:rPr>
        <w:rFonts w:ascii="Gotham-Thin" w:cs="Gotham-Thin" w:hAnsi="Gotham-Thin" w:eastAsia="Gotham-Thin"/>
        <w:sz w:val="16"/>
        <w:szCs w:val="16"/>
      </w:rPr>
      <w:fldChar w:fldCharType="begin" w:fldLock="0"/>
    </w:r>
    <w:r>
      <w:rPr>
        <w:rFonts w:ascii="Gotham-Thin" w:cs="Gotham-Thin" w:hAnsi="Gotham-Thin" w:eastAsia="Gotham-Thin"/>
        <w:sz w:val="16"/>
        <w:szCs w:val="16"/>
      </w:rPr>
      <w:instrText xml:space="preserve"> PAGE </w:instrText>
    </w:r>
    <w:r>
      <w:rPr>
        <w:rFonts w:ascii="Gotham-Thin" w:cs="Gotham-Thin" w:hAnsi="Gotham-Thin" w:eastAsia="Gotham-Thin"/>
        <w:sz w:val="16"/>
        <w:szCs w:val="16"/>
      </w:rPr>
      <w:fldChar w:fldCharType="separate" w:fldLock="0"/>
    </w:r>
    <w:r>
      <w:rPr>
        <w:rFonts w:ascii="Gotham-Thin" w:cs="Gotham-Thin" w:hAnsi="Gotham-Thin" w:eastAsia="Gotham-Thin"/>
        <w:sz w:val="16"/>
        <w:szCs w:val="16"/>
      </w:rPr>
    </w:r>
    <w:r>
      <w:rPr>
        <w:rFonts w:ascii="Gotham-Thin" w:cs="Gotham-Thin" w:hAnsi="Gotham-Thin" w:eastAsia="Gotham-Thin"/>
        <w:sz w:val="16"/>
        <w:szCs w:val="16"/>
      </w:rPr>
      <w:fldChar w:fldCharType="end" w:fldLock="0"/>
    </w:r>
    <w:r>
      <w:rPr>
        <w:rFonts w:ascii="Gotham-Thin" w:hAnsi="Gotham-Thin"/>
        <w:sz w:val="16"/>
        <w:szCs w:val="16"/>
        <w:rtl w:val="0"/>
        <w:lang w:val="en-US"/>
      </w:rPr>
      <w:t xml:space="preserve"> of </w:t>
    </w:r>
    <w:r>
      <w:rPr>
        <w:rFonts w:ascii="Gotham-Thin" w:cs="Gotham-Thin" w:hAnsi="Gotham-Thin" w:eastAsia="Gotham-Thin"/>
        <w:sz w:val="16"/>
        <w:szCs w:val="16"/>
      </w:rPr>
      <w:fldChar w:fldCharType="begin" w:fldLock="0"/>
    </w:r>
    <w:r>
      <w:rPr>
        <w:rFonts w:ascii="Gotham-Thin" w:cs="Gotham-Thin" w:hAnsi="Gotham-Thin" w:eastAsia="Gotham-Thin"/>
        <w:sz w:val="16"/>
        <w:szCs w:val="16"/>
      </w:rPr>
      <w:instrText xml:space="preserve"> NUMPAGES </w:instrText>
    </w:r>
    <w:r>
      <w:rPr>
        <w:rFonts w:ascii="Gotham-Thin" w:cs="Gotham-Thin" w:hAnsi="Gotham-Thin" w:eastAsia="Gotham-Thin"/>
        <w:sz w:val="16"/>
        <w:szCs w:val="16"/>
      </w:rPr>
      <w:fldChar w:fldCharType="separate" w:fldLock="0"/>
    </w:r>
    <w:r>
      <w:rPr>
        <w:rFonts w:ascii="Gotham-Thin" w:cs="Gotham-Thin" w:hAnsi="Gotham-Thin" w:eastAsia="Gotham-Thin"/>
        <w:sz w:val="16"/>
        <w:szCs w:val="16"/>
      </w:rPr>
    </w:r>
    <w:r>
      <w:rPr>
        <w:rFonts w:ascii="Gotham-Thin" w:cs="Gotham-Thin" w:hAnsi="Gotham-Thin" w:eastAsia="Gotham-Thin"/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44" w:hanging="28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4" w:hanging="28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84" w:hanging="28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04" w:hanging="28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4" w:hanging="28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544" w:hanging="28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264" w:hanging="28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raphik" w:cs="Arial Unicode MS" w:hAnsi="Graphi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Graphik" w:cs="Arial Unicode MS" w:hAnsi="Graphi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raphik"/>
        <a:ea typeface="Graphik"/>
        <a:cs typeface="Graphik"/>
      </a:majorFont>
      <a:minorFont>
        <a:latin typeface="Graphik"/>
        <a:ea typeface="Graphik"/>
        <a:cs typeface="Graphi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